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BORG5 - nowy najemca w K3 Immobile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 nam poinformować, że do grona najemców Immobile K3 dołączyła kolejna firma: BORG5, która zajmuje się projektowaniem, wdrażaniem i migracją istotnych dla bezpieczeństwa kolejowego sieci telekomunikacyjnych, przede wszystkim na rynku brytyjskim – mówi członek zarządu CDI Konsultanci Budowlani Maciej Wawrzyniak.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ma do zaoferowania szeroką bazę wysoko wyspecjalizowanych inżynierów. Jako nowoczesne i dynamicznie rozwijające się miasto – przyciąga coraz więcej młodych, zdolnych, dobrze wykształconych ludzi, a także inwestorów. Również tych z zagranicy. Bydgoszcz posiada także port lotniczy, co zapewnia dobrą komunikację z wieloma miastami europejskimi, również w Wielkiej Brytanii, stąd decyzja o ulokowaniu biura </w:t>
      </w:r>
      <w:r>
        <w:rPr>
          <w:rFonts w:ascii="calibri" w:hAnsi="calibri" w:eastAsia="calibri" w:cs="calibri"/>
          <w:sz w:val="24"/>
          <w:szCs w:val="24"/>
          <w:b/>
        </w:rPr>
        <w:t xml:space="preserve">BORG5 w Bydgoszczy</w:t>
      </w:r>
      <w:r>
        <w:rPr>
          <w:rFonts w:ascii="calibri" w:hAnsi="calibri" w:eastAsia="calibri" w:cs="calibri"/>
          <w:sz w:val="24"/>
          <w:szCs w:val="24"/>
        </w:rPr>
        <w:t xml:space="preserve"> – mówi Engineering Manager Filip Szmuc.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Mieszczący się w samym sercu Bydgoszczy biurowiec został już w znacznej części skomercjalizowany. Wśród najemców są firmy z branży nowoczesnych usług, IT, finansowej, bankowej czy ubezpieczeniowej. Na poziomie 0 znajduje się popularna wśród mieszkańców naszego miasta restauracja La Rosa, a biura na poziomie 3. i 4. zajmują spółki należące do </w:t>
      </w:r>
      <w:r>
        <w:rPr>
          <w:rFonts w:ascii="calibri" w:hAnsi="calibri" w:eastAsia="calibri" w:cs="calibri"/>
          <w:sz w:val="24"/>
          <w:szCs w:val="24"/>
          <w:b/>
        </w:rPr>
        <w:t xml:space="preserve">Grupy Kapitałowej Immobile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Cieszę się podwójnie, zarówno jako przedstawiciel dewelopera, jak również jako bydgoszczanin. Dzięki takim inwestycjom powstają w naszymi mieście miejsca pracy dla wysoko wykwalifikowanych specjalistów z branży projektowej oraz IT – dodaje Maciej Wawrzyniak.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wynajęcia zostało mniej niż 20 procent powierzchni biurowej. Wkrótce oddamy również do użytku biura dla najnowszej spółki z portfela Grupy Kapitałowej Immobile – </w:t>
      </w:r>
      <w:r>
        <w:rPr>
          <w:rFonts w:ascii="calibri" w:hAnsi="calibri" w:eastAsia="calibri" w:cs="calibri"/>
          <w:sz w:val="24"/>
          <w:szCs w:val="24"/>
          <w:b/>
        </w:rPr>
        <w:t xml:space="preserve">firmy Quiosque</w:t>
      </w:r>
      <w:r>
        <w:rPr>
          <w:rFonts w:ascii="calibri" w:hAnsi="calibri" w:eastAsia="calibri" w:cs="calibri"/>
          <w:sz w:val="24"/>
          <w:szCs w:val="24"/>
        </w:rPr>
        <w:t xml:space="preserve"> działającej w branży modowej, która zajmie blisko 700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swoją powierzchnię powiększyła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restauracja La Rosa</w:t>
      </w:r>
      <w:r>
        <w:rPr>
          <w:rFonts w:ascii="calibri" w:hAnsi="calibri" w:eastAsia="calibri" w:cs="calibri"/>
          <w:sz w:val="24"/>
          <w:szCs w:val="24"/>
        </w:rPr>
        <w:t xml:space="preserve">, w której otworzono przestrzeń bankietowo-konferencyjną. „Centrum sal K3” umożliwia zorganizowanie uroczystości rodzinnych, jak i eventów biznesowych.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2026-04-05T09:34:46+02:00</dcterms:created>
  <dcterms:modified xsi:type="dcterms:W3CDTF">2026-04-05T09:34:46+02:00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