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rośnie we wszystkich segmentach w I kwartale 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S.A., działająca w segmentach produkcji przemysłowej oraz budownictwa przemysłowego, opublikowała wyniki za pierwszy kwartał 2022 r. Wszystkie działalności spółki odnotowały znaczne wzrosty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netto ze sprzedaży w raportowanym okresie wyniosły </w:t>
      </w:r>
      <w:r>
        <w:rPr>
          <w:rFonts w:ascii="calibri" w:hAnsi="calibri" w:eastAsia="calibri" w:cs="calibri"/>
          <w:sz w:val="24"/>
          <w:szCs w:val="24"/>
          <w:b/>
        </w:rPr>
        <w:t xml:space="preserve">106,6 mln PLN i były wyższe o 49,5 mln PLN, tj. 86,7%</w:t>
      </w:r>
      <w:r>
        <w:rPr>
          <w:rFonts w:ascii="calibri" w:hAnsi="calibri" w:eastAsia="calibri" w:cs="calibri"/>
          <w:sz w:val="24"/>
          <w:szCs w:val="24"/>
        </w:rPr>
        <w:t xml:space="preserve"> w stosunku do przychodów osiągniętych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3 m-cy 2022 r. Grupa Przemysłowa osiągnęła zysk brutto na sprzedaży w wysokości 19,4 mln PLN, tj. wzrost o 7,1 mln PLN (57,9%), zaś zysk operacyjny na poziomie 3,0 mln PLN wobec straty w wysokości 0,5 mln PLN. </w:t>
      </w:r>
      <w:r>
        <w:rPr>
          <w:rFonts w:ascii="calibri" w:hAnsi="calibri" w:eastAsia="calibri" w:cs="calibri"/>
          <w:sz w:val="24"/>
          <w:szCs w:val="24"/>
          <w:b/>
        </w:rPr>
        <w:t xml:space="preserve">Zysk netto ukształtował się na poziomie 2,2 mln PLN</w:t>
      </w:r>
      <w:r>
        <w:rPr>
          <w:rFonts w:ascii="calibri" w:hAnsi="calibri" w:eastAsia="calibri" w:cs="calibri"/>
          <w:sz w:val="24"/>
          <w:szCs w:val="24"/>
        </w:rPr>
        <w:t xml:space="preserve">, podczas gdy w analogicznym okresie 2021 r. Grupa PJP MAKRUM S.A. osiągnęła 0,5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produkcji przemysłowej o 15,5 mln PLN, tj. 41,4%. Produkt kierowany jest głównie na rynki eksportowe: za 3 m-ce 2022 r. to 67,8% wolumenu. </w:t>
      </w:r>
      <w:r>
        <w:rPr>
          <w:rFonts w:ascii="calibri" w:hAnsi="calibri" w:eastAsia="calibri" w:cs="calibri"/>
          <w:sz w:val="24"/>
          <w:szCs w:val="24"/>
          <w:b/>
        </w:rPr>
        <w:t xml:space="preserve">W segmencie tym spółka wyróżnia kilka linii produktowych. W raportowanym okresie przychody we wszystkich wzrosły.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systemów przeładunkowych osiągnęły wartość 44,2 mln PLN i były wyższe o 9,9 mln PLN, tj. 28,9%, niż w analogicznym okresie 2021 r. Ich sprzedaż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maszyn MAKRUM charakteryzowała się wzrostem o 1,4 mln PLN, tj. 151,9%, do wysokości 2,3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systemów parkingowych MODULO wzrosła o 1,6 mln PLN, tj. 68,9%, do wysokości 3,8 mln PLN. Spółka rozbudowuje kanały dystrybucji i wprowadza ten produkt za pośrednictwem Spółki zależnej do Niemiec (docelowo sprzedaż odbywać się będzie również bezpośrednio przez spółkę brytyjską).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oferta Grupy Przemysłowej została uzupełnienia i rozwinięta - wprowadzono do niej wyroby i usługi związane z logistyką magazynową tj. sprzedaż, serwis, wynajem wózków widłowych oraz pozostałe elementy wyposażenie magazynu. Linia ta, działająca pod marką Promlift, odnotowała sprzedaż w wysokości 2,7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segmencie budownictwa przemysłowego</w:t>
      </w:r>
      <w:r>
        <w:rPr>
          <w:rFonts w:ascii="calibri" w:hAnsi="calibri" w:eastAsia="calibri" w:cs="calibri"/>
          <w:sz w:val="24"/>
          <w:szCs w:val="24"/>
        </w:rPr>
        <w:t xml:space="preserve"> miał miejsce wzrost przychodów r/r o 34,0 mln PLN, tj. 173,6% (do poziomu 53,5 mln), i odpowiadał za to istotny wzrost i znaczne zaangażowanie w realizacji umów na tle I kwartału 2021 roku, tj. okresu wczesnej realizacji większości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obecnie kontrakty budowlane gwarantują w </w:t>
      </w:r>
      <w:r>
        <w:rPr>
          <w:rFonts w:ascii="calibri" w:hAnsi="calibri" w:eastAsia="calibri" w:cs="calibri"/>
          <w:sz w:val="24"/>
          <w:szCs w:val="24"/>
          <w:b/>
        </w:rPr>
        <w:t xml:space="preserve">2022 roku przychód rzędu 220 mln PLN.</w:t>
      </w:r>
      <w:r>
        <w:rPr>
          <w:rFonts w:ascii="calibri" w:hAnsi="calibri" w:eastAsia="calibri" w:cs="calibri"/>
          <w:sz w:val="24"/>
          <w:szCs w:val="24"/>
        </w:rPr>
        <w:t xml:space="preserve"> Priorytetem segmentu jest utrzymanie rentowności, co może okazać się trudne przy dynamicznym wzroście cen materiałów budowlanych i usług zewnętrznych, oraz zwiększenie wolumenu sprzedaży. Na dzień sporządzenia sprawozdania trwają zaawansowane rozmowy z inwestorami w celu pozyskania kolejnych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2025-10-14T05:22:16+02:00</dcterms:created>
  <dcterms:modified xsi:type="dcterms:W3CDTF">2025-10-14T05:22:16+02:00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