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Atrem i Enea poprawią stan zasilania w Poznaniu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Atrem S.A. która pod koniec września informowała o wyborze jej oferty przez Enea Operator Sp. z o.o., dokonała aktualizacji informacji, informując o zawarciu 14 października ostatecznej umowy na poprawę stanu zasilania Miasta Poznania.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S.A., zgodnie z obowiązkiem informacyjnym spółek notowanych na GPW, poinformowała o zawarciu umowy na realizację zadania pod nazwą „Budowa linii kablowych 110 kV Garbary – Cytadela, Garbary – EC Karolin wraz z budową stacji 110/15/6 kV Garbary celem poprawy zasilania miasta Poznań”. Wynagrodzenie spółki ujęte w umowie wynosi 42.113.821,14 zł netto, tj. 51.800.000,00 zł brutto. Strony ustaliły termin realizacji zadania na 56 tygodni, licząc od dnia przekazania terenu 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Zostaliśmy wybrani w przetargu na GPZ Garbary przez poznański oddział Enei. To niezmiernie ważna i długo oczekiwana inwestycja dla nas, dla Poznania i dla całego systemu zasilania w energię elektryczną. Cały czas pracujemy nad kolejnymi tego typu tematami. Mam nadzieję, że już niedługo będę mógł ponownie przekazać dobre informacje </w:t>
      </w:r>
      <w:r>
        <w:rPr>
          <w:rFonts w:ascii="calibri" w:hAnsi="calibri" w:eastAsia="calibri" w:cs="calibri"/>
          <w:sz w:val="24"/>
          <w:szCs w:val="24"/>
        </w:rPr>
        <w:t xml:space="preserve">– mówił po wyborze oferty Atremu, prezes zarządu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Notowany na GPW od 2008 roku Atrem wyróżnia w swojej działalności dwa główne sektory: automatykę oraz elektroenergetykę, w ramach której z powodzeniem realizuje kontrakty w zakresie OZE i gazownictwa. Już dawno akcentowano rolę tej spółki także w nadchodzącej transformacji energetycznej oraz uniezależnieniu kraju od rosyjskich surowców. Kwestie te, w kontekście bieżących wydarzeń gospodarczych, są priorytetowe i mocno akcentowane przez rządzących, a zarówno energetyka, jak i gazownictwo są sektorami, z których spółka się wywodzi. ‘Atrem będzie w tych wyzwaniach chętnie uczestniczyć’ – deklarował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Atremu pytany niedawno o skalę zapotrzebowania na rozwój sieci przesyłowych odpowiadał, że zainteresowanie rośnie skokowo w związku z ekspansją OZE i koniecznością gruntownej modernizacji polskiego systemu dystrybucji i przesyłu.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2026-09-22T21:55:51+02:00</dcterms:created>
  <dcterms:modified xsi:type="dcterms:W3CDTF">2026-09-22T21:55:51+02:00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