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Atrem i Enea poprawią stan zasilania w Poznaniu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Atrem S.A. która pod koniec września informowała o wyborze jej oferty przez Enea Operator Sp. z o.o., dokonała aktualizacji informacji, informując o zawarciu 14 października ostatecznej umowy na poprawę stanu zasilania Miasta Poznania.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S.A., zgodnie z obowiązkiem informacyjnym spółek notowanych na GPW, poinformowała o zawarciu umowy na realizację zadania pod nazwą „Budowa linii kablowych 110 kV Garbary – Cytadela, Garbary – EC Karolin wraz z budową stacji 110/15/6 kV Garbary celem poprawy zasilania miasta Poznań”. Wynagrodzenie spółki ujęte w umowie wynosi 42.113.821,14 zł netto, tj. 51.800.000,00 zł brutto. Strony ustaliły termin realizacji zadania na 56 tygodni, licząc od dnia przekazania terenu 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Zostaliśmy wybrani w przetargu na GPZ Garbary przez poznański oddział Enei. To niezmiernie ważna i długo oczekiwana inwestycja dla nas, dla Poznania i dla całego systemu zasilania w energię elektryczną. Cały czas pracujemy nad kolejnymi tego typu tematami. Mam nadzieję, że już niedługo będę mógł ponownie przekazać dobre informacje </w:t>
      </w:r>
      <w:r>
        <w:rPr>
          <w:rFonts w:ascii="calibri" w:hAnsi="calibri" w:eastAsia="calibri" w:cs="calibri"/>
          <w:sz w:val="24"/>
          <w:szCs w:val="24"/>
        </w:rPr>
        <w:t xml:space="preserve">– mówił po wyborze oferty Atremu, prezes zarządu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Notowany na GPW od 2008 roku Atrem wyróżnia w swojej działalności dwa główne sektory: automatykę oraz elektroenergetykę, w ramach której z powodzeniem realizuje kontrakty w zakresie OZE i gazownictwa. Już dawno akcentowano rolę tej spółki także w nadchodzącej transformacji energetycznej oraz uniezależnieniu kraju od rosyjskich surowców. Kwestie te, w kontekście bieżących wydarzeń gospodarczych, są priorytetowe i mocno akcentowane przez rządzących, a zarówno energetyka, jak i gazownictwo są sektorami, z których spółka się wywodzi. ‘Atrem będzie w tych wyzwaniach chętnie uczestniczyć’ – deklarował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Atremu pytany niedawno o skalę zapotrzebowania na rozwój sieci przesyłowych odpowiadał, że zainteresowanie rośnie skokowo w związku z ekspansją OZE i koniecznością gruntownej modernizacji polskiego systemu dystrybucji i przesyłu.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2026-11-07T19:46:22+01:00</dcterms:created>
  <dcterms:modified xsi:type="dcterms:W3CDTF">2026-11-07T19:46:22+01:00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