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Wyniki Atrem S.A. za III kwartały 2021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S.A., działająca w branży automatyki i elektroenergetyki oraz realizująca kontrakty w zakresie OZE i gazownictwa, opublikowała wyniki za III kwartały 2021. Przychody spółki wyniosły 68,9 mln PLN, a EBITDA 2,6 mln PLN. W raportowanym okresie wygenerowano zysk z działalności operacyjnej na poziomie 0,8 mln.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Atremu w III kwartałach 2021 roku wzrosły rok do roku o 33%, zysk operacyjny zaś o 74%.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Realizacja przychodów kształtuje się nieproporcjonalnie w trakcie trwania roku. W II półroczu 2021 roku – podobnie jak w roku ubiegłym – spółka zakłada wyższe zaangażowanie na kontraktach. Wynika to m.in. z warunków atmosferycznych, specyfiki realizowanych kontraktów, terminów umownych oraz fazy realizacji, w jakiej się znajdują budowy</w:t>
      </w:r>
      <w:r>
        <w:rPr>
          <w:rFonts w:ascii="calibri" w:hAnsi="calibri" w:eastAsia="calibri" w:cs="calibri"/>
          <w:sz w:val="24"/>
          <w:szCs w:val="24"/>
        </w:rPr>
        <w:t xml:space="preserve"> – tłumaczy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Swój udział we wzroście przychodów miał przede wszystkim segment automatyki, który zajmuje się świadczeniem usług inżynieryjnych z zakresu automatyki przemysłowej, aparatury kontrolno-pomiarowej, przebudowy gazowych stacji redukcyjno-pomiarowych, telemetrii, teletechniki, regulacji, elektroniki, metrologii oraz świadczy usługi z zakresu instalacji klimatyzacyjnych, wentylacji i ogrzewania. W segmencie tym przychody wzrosły do 43,1 mln, względem 26,2 mln zł. wypracowanych w analogicznym okresie ubiegłego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Wzrost sprzedaży w segmencie automatyki wynika w głównej mierze z ostatniej fazy realizacji kontraktu Muzeum Enigmy w Poznaniu oraz realizacji kontraktu Tłocznia Odolanów</w:t>
      </w:r>
      <w:r>
        <w:rPr>
          <w:rFonts w:ascii="calibri" w:hAnsi="calibri" w:eastAsia="calibri" w:cs="calibri"/>
          <w:sz w:val="24"/>
          <w:szCs w:val="24"/>
        </w:rPr>
        <w:t xml:space="preserve"> – mówi Andrzej Goławski, prezes zarządu Atrem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segment działalności – elektroenergetyka, świadczący usługi z zakresu energetyki niskich, średnich i wysokich napięć dla klientów z branży energetycznej, budowlanej oraz przemysłowej, zanotował przychody zbliżone rok do roku, i było to 25,8 mln zł. W ramach tego segmentu spółka realizuje także kontrakty z obszaru odnawialnych źródeł energii, w raportowanym okresie o wartości 23,3 mln PLN netto. Dynamiczny rozwój tej branży może wpływać na przychody Atremu w nadchodzących okresach.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Atrem widzi szansę w rozwoju polskiego systemu elektroenergetycznego w związku z ekspansją OZE, nowymi przepisami i wywołaną przez to koniecznością gruntownej modernizacji polskiego systemu dystrybucji oraz przesyłu. Rozwój ten wywołuje także konieczność rozwiązania problemu magazynowania energii – tutaj również mamy szanse wykorzystać nasze kompetencje - magazyny energii najlepiej zlokalizować w ramach budowanych przez nas głównych punktów zasilających</w:t>
      </w:r>
      <w:r>
        <w:rPr>
          <w:rFonts w:ascii="calibri" w:hAnsi="calibri" w:eastAsia="calibri" w:cs="calibri"/>
          <w:sz w:val="24"/>
          <w:szCs w:val="24"/>
        </w:rPr>
        <w:t xml:space="preserve">” – tłumaczy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w III kwartałach 2021 roku zysk z działalności operacyjnej na poziomie 0,8 mln PLN, wobec zysku 0,5 mln PLN w 3Q2020. Zysk brutto wyniósł 0,16 mln PLN, wobec straty r/r na poziomie 0,12 mln PLN, a strata netto -1,6 mln PLN, wobec minimalnego zysku w analogicznym okresie 2021 r. Spadła rentowności brutto na sprzedaży z 13,7% w 2020 roku do 12,1% w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Główny wpływ na to miało wejście w fazę realizacji kontraktu z początku 2018 roku, na który zawiązano rezerwę na stratę, co istotnie obniża średnią marżę. Celem jaki stawiany jest przez zarząd wszystkim ośrodkom zysku w spółce, jest trwała poprawa rentowności na realizowanych kontraktach oraz istotna poprawa pozycji finansowej kontraktów</w:t>
      </w:r>
      <w:r>
        <w:rPr>
          <w:rFonts w:ascii="calibri" w:hAnsi="calibri" w:eastAsia="calibri" w:cs="calibri"/>
          <w:sz w:val="24"/>
          <w:szCs w:val="24"/>
        </w:rPr>
        <w:t xml:space="preserve"> – zapowiada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 od 2007 r. jest notowany na warszawskiej GPW, a od 2019 roku znajduje się w strukturach Grupy Kapitałowej IMMOBILE S.A. Spółka zamierza dobrze wykorzystać potencjał jakim dysponuje funkcjonując w ramach tego konglomeratu, optymalizując koszty i wykorzystując dostępne synergie.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2026-08-17T15:23:52+02:00</dcterms:created>
  <dcterms:modified xsi:type="dcterms:W3CDTF">2026-08-17T15:23:52+02:00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