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Znaczna poprawa wyników i solidny portfel zamówień na nowy rok – Atrem publikuje wyniki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S.A., działająca w branży automatyki i elektroenergetyki oraz realizująca kontrakty w zakresie OZE i gazownictwa, opublikowała wyniki za rok 2021. Przychody Spółki w tym okresie wyniosły 100,6 mln PLN i wzrosły o 14,1 mln PLN w stosunku do roku 2020 (wzrost przychodów o 16%). EBITDA wyniosła 9,0 mln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wygenerowała zysk brutto na działalności kontynuowanej na poziomie 6,0 mln PLN wobec zysku na poziomie 0,3 mln PLN w roku 2020. Zysk z działalności operacyjnej wyniósł 6,5 mln PLN wobec zysku 1,0 mln PLN w roku 2020. Łącznie Spółka wygenerowała zysk netto w wysokości 6,2 mln PLN, względem zysku na poziomie 2,3 mln PLN w roku ubiegłym.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‘Słuszność głębokiej restrukturyzacji i obranych zmian potwierdzają pozytywne wyniki finansowe i operacyjne. Spółka osiągnęła zyski na każdym kolejnym szczeblu działalności. Zgodnie z wcześniejszymi raportami, skupiliśmy się na konsekwentnej poprawie rentowności na kontraktach i polepszeniu pozycji finansowej przedsiębiorstwa. Osiągnięte marże są wyznacznikiem ciężkiej pracy całego zespołu. Nasz model funkcjonowania pozwala minimalizować ryzyko niekorzystnego wpływu rosnących stóp procentowych, które mają wpływ na koszty działalności’</w:t>
      </w:r>
      <w:r>
        <w:rPr>
          <w:rFonts w:ascii="calibri" w:hAnsi="calibri" w:eastAsia="calibri" w:cs="calibri"/>
          <w:sz w:val="24"/>
          <w:szCs w:val="24"/>
        </w:rPr>
        <w:t xml:space="preserve"> – mówi Andrzej Goławski, prezes zarządu Atrem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przychodów przełożył się na wzrost kosztów bezpośrednich z 78,1 mln PLN w 2020 roku na 88,4 mln PLN w 2021 roku. Dynamika wzrostu kosztów była niższa niż dynamika wzrostu przychodów (wzrost kosztów o 13%). Wpływ na taki stan rzeczy miały: polepszenie budżetów na kilku kontraktach rozliczanych ryczałtowo, pogorszenie budżetu na GPZ Wronki oraz podpisanie ugody sądowej o zapłatę za roboty dodatkowe. Wypadkową wszystkich opisanych wyżej zmian był wzrost rentowności na sprzedaży z 9% w 2020 roku do ponad 12% w 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Kapitał obrotowy netto rośnie i pozostaje dodatni, wskaźniki płynności bieżącej i szybkiej uległy polepszeniu, nieznacznie wzrósł wskaźnik ogólnego zadłużenia, dodatnie są wskaźniki rentowności</w:t>
      </w:r>
      <w:r>
        <w:rPr>
          <w:rFonts w:ascii="calibri" w:hAnsi="calibri" w:eastAsia="calibri" w:cs="calibri"/>
          <w:sz w:val="24"/>
          <w:szCs w:val="24"/>
        </w:rPr>
        <w:t xml:space="preserve"> – podsumował wyniki Goławski.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3px; height:1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prowadzi działalność w dwóch segmentach: automatyki oraz elektroenergetyki. W ich ramach znajdują się także kontrakty związane z odnawialnymi źródłami energii, w tym inwestycja we Wronkach, której celem jest zapewnienie możliwości przyłączenia odnawialnych źródeł energii poprzez zwiększenie możliwości przyłączeniowych i przesyłowych stacji. Dzięki przebudowie nastąpi znaczne zwiększenie bezpieczeństwa dostaw energii elektrycznej oraz dostawa energii o odpowiednich parametrach. Wartość tego projektu wynosi 23,3 mln PLN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Spółka aktywnie uczestniczy w postępowaniach przetargowych na wykonanie GPO (Głównych Punktów Odbioru), przyłączy elektroenergetycznych turbin wiatrowych, czy też budowy tras kablowych SN (średniego napięcia) na planowanych farmach wiatrowych.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‘Spółka weszła w 2022 rok z solidnym portfelem zamówień, gotowa na realizację nowych wyzwań. W samych projektach wykonawczych, wartość obrotu do zrealizowania wynosi ponad 106,9 mln PLN. Spółka kontynuuje działalność przy stabilnym poziomie środków pieniężnych, niskim poziomie zadłużenia i wolnych limitach finansowania pośredniego nowych kontraktów. Wierzymy, że należyte wykorzystanie potencjału pozwoli na pozyskiwanie nowych ambitnych zleceń’ </w:t>
      </w:r>
      <w:r>
        <w:rPr>
          <w:rFonts w:ascii="calibri" w:hAnsi="calibri" w:eastAsia="calibri" w:cs="calibri"/>
          <w:sz w:val="24"/>
          <w:szCs w:val="24"/>
        </w:rPr>
        <w:t xml:space="preserve">– mówi prezes o perspektywach na bieżący rok.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2026-09-27T01:01:29+02:00</dcterms:created>
  <dcterms:modified xsi:type="dcterms:W3CDTF">2026-09-27T01:01:29+02:00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