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i solidny portfel zamówień na nowy rok – Atrem publikuje wyniki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tym okresie wyniosły 100,6 mln PLN i wzrosły o 14,1 mln PLN w stosunku do roku 2020 (wzrost przychodów o 16%). EBITDA wyniosła 9,0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działalności kontynuowanej na poziomie 6,0 mln PLN wobec zysku na poziomie 0,3 mln PLN w roku 2020. Zysk z działalności operacyjnej wyniósł 6,5 mln PLN wobec zysku 1,0 mln PLN w roku 2020. Łącznie Spółka wygenerowała zysk netto w wysokości 6,2 mln PLN, względem zysku na poziomie 2,3 mln PLN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‘Słuszność głębokiej restrukturyzacji i obranych zmian potwierdzają pozytywne wyniki finansowe i operacyjne. Spółka osiągnęła zyski na każdym kolejnym szczeblu działalności. Zgodnie z wcześniejszymi raportami, skupiliśmy się na konsekwentnej poprawie rentowności na kontraktach i polepszeniu pozycji finansowej przedsiębiorstwa. Osiągnięte marże są wyznacznikiem ciężkiej pracy całego zespołu. Nasz model funkcjonowania pozwala minimalizować ryzyko niekorzystnego wpływu rosnących stóp procentowych, które mają wpływ na koszty działalności’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przełożył się na wzrost kosztów bezpośrednich z 78,1 mln PLN w 2020 roku na 88,4 mln PLN w 2021 roku. Dynamika wzrostu kosztów była niższa niż dynamika wzrostu przychodów (wzrost kosztów o 13%). Wpływ na taki stan rzeczy miały: polepszenie budżetów na kilku kontraktach rozliczanych ryczałtowo, pogorszenie budżetu na GPZ Wronki oraz podpisanie ugody sądowej o zapłatę za roboty dodatkowe. Wypadkową wszystkich opisanych wyżej zmian był wzrost rentowności na sprzedaży z 9% w 2020 roku do ponad 12% w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Kapitał obrotowy netto rośnie i pozostaje dodatni, wskaźniki płynności bieżącej i szybkiej uległy polepszeniu, nieznacznie wzrósł wskaźnik ogólnego zadłużenia, dodatnie są wskaźniki rentowności</w:t>
      </w:r>
      <w:r>
        <w:rPr>
          <w:rFonts w:ascii="calibri" w:hAnsi="calibri" w:eastAsia="calibri" w:cs="calibri"/>
          <w:sz w:val="24"/>
          <w:szCs w:val="24"/>
        </w:rPr>
        <w:t xml:space="preserve"> – podsumował wyniki Goławski.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prowadzi działalność w dwóch segmentach: automatyki oraz elektroenergetyki. W ich ramach znajdują się także kontrakty związane z odnawialnymi źródłami energii, w tym inwestycja we Wronkach, której celem jest zapewnienie możliwości przyłączenia odnawialnych źródeł energii poprzez zwiększenie możliwości przyłączeniowych i przesyłowych stacji. Dzięki przebudowie nastąpi znaczne zwiększenie bezpieczeństwa dostaw energii elektrycznej oraz dostawa energii o odpowiednich parametrach. Wartość tego projektu wynosi 23,3 mln PLN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aktywnie uczestniczy w postępowaniach przetargowych na wykonanie GPO (Głównych Punktów Odbioru), przyłączy elektroenergetycznych turbin wiatrowych, czy też budowy tras kablowych SN (średniego napięcia) na planowanych farmach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‘Spółka weszła w 2022 rok z solidnym portfelem zamówień, gotowa na realizację nowych wyzwań. W samych projektach wykonawczych, wartość obrotu do zrealizowania wynosi ponad 106,9 mln PLN. Spółka kontynuuje działalność przy stabilnym poziomie środków pieniężnych, niskim poziomie zadłużenia i wolnych limitach finansowania pośredniego nowych kontraktów. Wierzymy, że należyte wykorzystanie potencjału pozwoli na pozyskiwanie nowych ambitnych zleceń’ </w:t>
      </w:r>
      <w:r>
        <w:rPr>
          <w:rFonts w:ascii="calibri" w:hAnsi="calibri" w:eastAsia="calibri" w:cs="calibri"/>
          <w:sz w:val="24"/>
          <w:szCs w:val="24"/>
        </w:rPr>
        <w:t xml:space="preserve">– mówi prezes o perspektywach na bieżący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2026-05-05T08:59:54+02:00</dcterms:created>
  <dcterms:modified xsi:type="dcterms:W3CDTF">2026-05-05T08:59:54+02:00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