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BORG5 rozrasta się w bydgoskim biurowcu IMMOBILE K3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Ciągły rozwój firm obecnych w bydgoskim biurowcu IMMOBILE K3 zaowocował powiększeniem powierzchni dla jednego z najemców - BORG5.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Borg obecna jest w IMMOBILE K3 od połowy 2021 r. Z końcem kwietnia bieżącego roku przekazano im blisko 200 metrów kwadratowych dodatkowej powierzchni biurowej. Firma ta planuje ciągły rozwój i dynamicznie zwiększa zatrudnienie na wykwalifikowanych, dobrze płatnych stanowiskach. Dzięki temu obecna łączna powierzchnia najmu zajmowana przez tę spółkę to już 450 m2.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Bydgoszcz ma do zaoferowania szeroką bazę wysoko wyspecjalizowanych inżynierów. Jako nowoczesne i dynamicznie rozwijające się miasto – przyciąga coraz więcej młodych, zdolnych, dobrze wykształconych ludzi, a także inwestorów. Również tych z zagranicy. Bydgoszcz posiada także port lotniczy, co zapewnia dobrą komunikację z wieloma miastami europejskimi, również w Wielkiej Brytanii, stąd decyzja o ulokowaniu biura BORG5 w Bydgoszczy</w:t>
      </w:r>
      <w:r>
        <w:rPr>
          <w:rFonts w:ascii="calibri" w:hAnsi="calibri" w:eastAsia="calibri" w:cs="calibri"/>
          <w:sz w:val="24"/>
          <w:szCs w:val="24"/>
        </w:rPr>
        <w:t xml:space="preserve"> – mówił po odbiorze pierwszych przestrzeni biurowych w Bydgoszczy Filip Szmuc, Engineering Manager w BORG5. Firma ta, która zajmuje się projektowaniem, wdrażaniem i migracją istotnych dla bezpieczeństwa kolejowego sieci telekomunikacyjnych, przede wszystkim na rynku brytyjskim.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najemców nowoczesnego biurowca IMMOBILE K3 są firmy z branży nowoczesnych usług, IT, finansowej, bankowej czy ubezpieczeniowej. Na poziomie 0 znajduje się popularna wśród mieszkańców Bydgoszcz restauracja La Rosa, a biura na poziomie 2, 3. i 4. zajmują spółki należące do Grupy Kapitałowej IMMOBILE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Prowadzimy rozmowy z kolejnymi najemcami o przygotowaniu nowych powierzchni, co mam nadzieję, będziemy mogli ogłosić w najbliższych tygodniach. Jednocześnie cieszę się, że nasi obecni partnerzy podpisują umowy na kolejne lata. W ostatnich tygodniach sfinalizowaliśmy umowy z BOŚ Bank na kolejne lata, zarówno w odniesieniu do biur, jak również placówki bankowej na parterze</w:t>
      </w:r>
      <w:r>
        <w:rPr>
          <w:rFonts w:ascii="calibri" w:hAnsi="calibri" w:eastAsia="calibri" w:cs="calibri"/>
          <w:sz w:val="24"/>
          <w:szCs w:val="24"/>
        </w:rPr>
        <w:t xml:space="preserve"> – mówi Maciej Wawrzyniak</w:t>
      </w:r>
      <w:r>
        <w:rPr>
          <w:rFonts w:ascii="calibri" w:hAnsi="calibri" w:eastAsia="calibri" w:cs="calibri"/>
          <w:sz w:val="24"/>
          <w:szCs w:val="24"/>
          <w:b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członek zarządu CDI Konsultanci Budowlani.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IMMOBILE K3 to 8.800 m2 powierzchni biurowych i handlowych w centrum miasta, zaledwie 100 m od bydgoskiego Starego Rynku. Doskonała lokalizacja i nowoczesne biura klasy A, pozwalają zaoferować przedsiębiorcom jedne z najatrakcyjniejszych przestrzeni biurowych w Bydgoszczy. Biurowiec jest jedną z czołowych inwestycji deweloperskich Grupy Kapitałowej IMMOBILE, a za jego realizację i komercjalizację odpowiadała spółka CDI Konsultanci Budowlani Sp. z o.o.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2026-03-29T18:30:53+02:00</dcterms:created>
  <dcterms:modified xsi:type="dcterms:W3CDTF">2026-03-29T18:30:53+02:00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