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rozwija segment modowy dzięki akwizycjom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 to konglomerat spółek z różnych branż, notowany na GPW od 2007 roku. Kontynuując rozwój poprzez akwizycje, sfinalizowała przejęcie marki MaraSimSim. Wzbogaci ona segment działalności Grupy związany z modą.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po dużym przejęciu PBH S.A. i pozostałych spółek związanych z marką modową Quiosque, portfolio tego segmentu działalności Grupy Kapitałowej IMMOBILE wzbogaci MaraSimSim, To polska marka, która wywodzi się z Gdańska i zajmuje produkcją autorskiej biżuterii. Projekty marki wyróżnia indywidualizm i użycie najlepszej jakości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po przejęciu Quiosque, jako pierwszego w swoich strukturach podmiotu z branży odzieżowej, nie ukrywała, że chce, aby ta akwizycja stała się platformą do realizowania kolejnych przejęć w tym segmencie. Dołączenie do popularnej marki odzieży dla kobiet, podmiotu zajmującego się produkują i sprzedażą biżuterii pozwoli na korzystanie z synergii, które taka decyzja biznesowa otwiera. To między innymi wspólna grupa docelowa i kanały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jak Quiosque opiera się na sukience, tak głównym produktem Marasimsim są pierścionki - biżuteria absolutnie artystyczna, bardzo kobieca, szlachetna i ponadczasowa. Szukaliśmy biżuterii, która nie jest naśladownictwem marek znajdujących się w centrach handlowych. Jako biżuteria artystyczna, Marasimsim powstaje w oparciu o autorskie inspiracje. Takie dodatki mogą pięknie podkreślić kobiecość i indywidualizm kolekcji Quiosque, a biznesowo stanowić doskonałą synergię jako produkty komplementarne do tych, które dotychczas oferowaliśmy w zakresie segmentu modowego Grupy</w:t>
      </w:r>
      <w:r>
        <w:rPr>
          <w:rFonts w:ascii="calibri" w:hAnsi="calibri" w:eastAsia="calibri" w:cs="calibri"/>
          <w:sz w:val="24"/>
          <w:szCs w:val="24"/>
        </w:rPr>
        <w:t xml:space="preserve"> - powiedziała Agnieszka Krzywańska, dyrektor zarządu PBH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branży odzieżowej, Grupa Kapitałowa IMMOBILE działa obecnie w takich segmentach rynku jak przemysł, budownictwo przemysłowe, automatyka i elektroenergetyka, developing i hotelarstwo. Działalność w strukturze konglomeratu, jest dla spółki sposobem na stabilny rozwój w trudnym otoczeniu 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2026-03-29T23:06:41+02:00</dcterms:created>
  <dcterms:modified xsi:type="dcterms:W3CDTF">2026-03-29T23:06:41+02:00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