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Atrem publikuje wyniki za I półrocze 2021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Atrem S.A., działająca w branży automatyki i elektroenergetyki oraz realizująca kontrakty w zakresie OZE i gazownictwa, opublikowała wyniki za I półrocze 2021. Przychody Spółki wyniosły 38,7 mln PLN, a EBITDA 2,0 mln PLN. W raportowanym okresie wygenerowano zysk z działalności operacyjnej na poziomie 0,8 mln.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Przychody Atremu w I półroczu 2021 roku wyniosły 38,7 mln PLN, co oznacza wzrost o 3,0 mln PLN w stosunku do analogicznego okresu w 2020 roku (+8,44%). Spółka deklaruje, iż realizacja przychodów kształtuje się nieproporcjonalnie w trakcie trwania roku, w związku z czym oczekuje większej aktywności w drugiej części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 II półroczu 2021 roku – podobnie jak w roku ubiegłym – spółka zakłada wyższe zaangażowanie na kontraktach. Wynika to m.in. z warunków atmosferycznych, specyfiki realizowanych kontraktów, terminów umownych oraz fazy realizacji, w jakiej się znajdują budowy</w:t>
      </w:r>
      <w:r>
        <w:rPr>
          <w:rFonts w:ascii="calibri" w:hAnsi="calibri" w:eastAsia="calibri" w:cs="calibri"/>
          <w:sz w:val="24"/>
          <w:szCs w:val="24"/>
        </w:rPr>
        <w:t xml:space="preserve"> – tłumaczy ten fakt Andrzej Goławski, Prezes Zarządu Atrem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ślad za wzrostem przychodów, nastąpił wzrost kosztów bezpośrednich z 30,1 mln PLN w I półroczu 2020 roku do poziomu 32,6 mln PLN w 2021 roku, a dynamika wzrostu kosztów była nieco niższa, niż zmian przychodów. Powodem takiego stanu rzeczy było polepszenie rentowności na kontraktach wykonawczych. Wypadkową tych zmian było polepszenie rentowności brutto na sprzedaży z 15,55% w 2020 roku, do 15,6% w 2021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Celem jaki stawiany wszystkim ośrodkom zysku w Spółce, jest trwała poprawa rentowności na realizowanych kontraktach oraz istotna poprawa pozycji finansowej kontraktów</w:t>
      </w:r>
      <w:r>
        <w:rPr>
          <w:rFonts w:ascii="calibri" w:hAnsi="calibri" w:eastAsia="calibri" w:cs="calibri"/>
          <w:sz w:val="24"/>
          <w:szCs w:val="24"/>
        </w:rPr>
        <w:t xml:space="preserve"> – mówi Prezes.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wygenerowała w I półroczu 2021 roku zysk z działalności operacyjnej na poziomie 0,8 mln PLN, wobec zysku 0,4 mln PLN w I półroczu 2020. Zysk brutto wyniósł 0,25 mln PLN, wobec straty na poziomie 0,03 mln PLN na koniec I półrocza ubiegłego roku, a strata netto -0,88 mln PLN, wobec minimalnego zysku w analogicznym okresie 2020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realizuje projekty w dwóch segmentach – automatyki i elektroenergetyki. W ramach segmentu elektroenergetyka, Atrem realizował inwestycje z zakresu odnawialnych źródeł energii. Dynamiczny rozwój tej branży może wpływać na przychody Atremu w nadchodzących okresach.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Atrem widzi szansę w rozwoju polskiego systemu elektroenergetycznego w związku z ekspansją OZE, nowymi przepisami i wywołaną przez to koniecznością gruntownej modernizacji polskiego systemu dystrybucji oraz przesyłu. Rozwój ten wywołuje także konieczność rozwiązania problemu magazynowania energii – tutaj również mamy szanse wykorzystać nasze kompetencje - magazyny energii najlepiej zlokalizować w ramach budowanych przez nas głównych punktów zasilających</w:t>
      </w:r>
      <w:r>
        <w:rPr>
          <w:rFonts w:ascii="calibri" w:hAnsi="calibri" w:eastAsia="calibri" w:cs="calibri"/>
          <w:sz w:val="24"/>
          <w:szCs w:val="24"/>
        </w:rPr>
        <w:t xml:space="preserve"> – tłumaczy Andrzej Goławski.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Atrem S.A. od 2007 r. jest notowany na warszawskiej GPW, a od 2019 roku znajduje się w strukturach Grupy Kapitałowej IMMOBILE S.A. Spółka zamierza dobrze wykorzystać potencjał jakim dysponuje funkcjonując w ramach tego konglomeratu, optymalizując koszty i wykorzystując dostępne synergie.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2025-04-06T11:21:00+02:00</dcterms:created>
  <dcterms:modified xsi:type="dcterms:W3CDTF">2025-04-06T11:21:00+02:00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