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 rekordowymi przychodami i nowymi akwizycjami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Skonsolidowane przychody Grupy w 2022 roku wyniosły 886,5 mln PLN, co oznacza wzrost o 310,7 mln PLN w stosunku do analogicznego okresu roku 2021. Największe wzrosty odnotowano w segmencie budownictwa przemysłowego, przemyśle oraz w hotelarstwie.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hotelarski, reprezentowany w Grupie przez spółkę Focus Hotels S.A., wypracował w 2022 roku przychody większe o 160%, w porównaniu do roku 2021. W tym okresie baza hoteli sieci Focus powiększyła się o dwa obiekty – w Warszawie i Bydgoszczy. Przychody budownictwa przemysłowego (Projprzem Budownictwo) wzrosły w raportowanym okresie o prawie 87% r/r. Ponad 55% wzrost zanotowano w przemyśle, reprezentowanym przez przejętą 6 lat temu spółkę PJP Makrum S.A. To właśnie przejęcia są dla Grupy Kapitałowej IMMOBILE strategią na wzrost. Wzrost odnotowano również w segmencie automatyki i elektroenergetyki, deweloperskim i najmu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był dla Grupy rekordowym rokiem pod względem przychodów. Widzimy już pierwsze jaskółki wytężonej pracy przy akwizycjach. Po prezentowanym okresie sprawozdawczym Grupa wzbogaciła się o kolejne nowe podmioty. Jesteśmy przekonani, że bieżący okres będzie obfity w podobne zdarzenia</w:t>
      </w:r>
      <w:r>
        <w:rPr>
          <w:rFonts w:ascii="calibri" w:hAnsi="calibri" w:eastAsia="calibri" w:cs="calibri"/>
          <w:sz w:val="24"/>
          <w:szCs w:val="24"/>
        </w:rPr>
        <w:t xml:space="preserve"> – powiedział Rafał Jerzy, prezes zarządu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ostatnich akwizycji w tym konglomeracie należy nabycie w ramach segmentu przemysłowego spółek QDS24 Sp. z o.o. (drzwi podnoszono przesuwne) oraz IPZ PW Sp. z o.o. (wózki widłowe). W segmencie odzieżowym pod skrzydła reprezentującej go marki Quiosque trafiły takie podmioty jak MaraSimSim (biżuteria), Akardo i Haka (obuwie) oraz Błonie (zegarki). Sektor hotelowy rozwinął działalność restauracyjną, przejmując dwie restauracje w Bydgoszczy – Stary Port 13 oraz La Rosę; warszawską restaurację Niewinni Czarodzieje 2.0 oraz restaurację Piwna 47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156,4 mln PLN (rentowność na poziomie 17,6%), wobec 107,6 mln PLN w roku 2021 (rentowność 18,7%).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zysku netto na sprzedaży Grupa odnotowała znaczący wzrost, do poziomu 49,1 mln w roku 2022, z 14,2 mln w roku ubiegłym. Spółka osiągnęła zysk na działalności operacyjnej na poziomie 49,1 mln PLN, wobec zysku na poziomie 17,7 mln PLN w roku 2021. Zysk brutto wyniósł 31,9 mln PLN (w okresie porównawczym było to 17,1 mln PLN), zaś zysk netto w roku 2022 wyniósł 18,6 mln PLN, wobec zysku netto 15,7 mln PLN w roku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2026-07-02T05:19:16+02:00</dcterms:created>
  <dcterms:modified xsi:type="dcterms:W3CDTF">2026-07-02T05:19:16+02:00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