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konsekwentnie prezentuje szacunkowe wyniki i kolejne wzrosty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Kapitałowej IMMOBILE S.A. poinformował w raporcie bieżącym o podjęciu uchwały w sprawie przekazania do publicznej wiadomości szacunkowej wysokości skonsolidowanych przychodów za cztery kwartały 2022 roku. Ich wartość powiększyła się o przeszło 53%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oraz jej spółki zależne, publikują szacunkowe wyniki już po raz trzeci z kolei. Zgodnie z opublikowanymi danymi,</w:t>
      </w:r>
      <w:r>
        <w:rPr>
          <w:rFonts w:ascii="calibri" w:hAnsi="calibri" w:eastAsia="calibri" w:cs="calibri"/>
          <w:sz w:val="24"/>
          <w:szCs w:val="24"/>
          <w:b/>
        </w:rPr>
        <w:t xml:space="preserve"> skonsolidowane przychody ze sprzedaży za IV kwartały 2022 r. powinny wzrosnąć do 882,09 mln zł (versus 575,80 mln za IV kwartały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Szacunki przewidują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sprzedaży w większości segmentów operacyjnych Grupy</w:t>
      </w:r>
      <w:r>
        <w:rPr>
          <w:rFonts w:ascii="calibri" w:hAnsi="calibri" w:eastAsia="calibri" w:cs="calibri"/>
          <w:sz w:val="24"/>
          <w:szCs w:val="24"/>
        </w:rPr>
        <w:t xml:space="preserve">. W hotelarstwie sprzedaż wzrosła do poziomu 137,73 mln (vs 52,95 mln); w budownictwie przemysłowym do poziomu 250,27 mln (vs 129,92), w przemyśle do poziomu 276,31 mln (vs 181,54 mln) mln; w automatyce i elektroenergetyce do poziomu 109,36 mln (vs 100,37 mln), a w najmie aktywów do kwoty 3,52 mln (vs 3,12 mln zł). W pozostałych dwóch segmentach działalności wartości przychodów odnotować miały niewielki spadek: w segmencie deweloperskim z 34,19 mln w 2021 roku, do 33,59 mln w 2022; zaś w segmencie odzieżowym z 73,72 mln, do poziomu 71,31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miniony rok, zarząd motywuje transparentną polityką informacyjną spółki i chęcią umożliwienia rynkowi swojej bieżącej analizy sytuacji finansowej. To już trzecia tego typu publikacja w spółce. Uprzednio przedstawiła ona szybciej także szacunki za I półrocze oraz trzy kwartały 2022. Oprócz tego typu publikacji, spółka prowadzi otwartą komunikację z rynkiem, prowadząc bardzo aktywnie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vodcastowy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spółki zależne: działająca w przemyśle PJP Makrum S.A. oraz reprezentująca sektor automatyki i elektroenergetyki Atrem S.A. Oba podmioty zapowiedziały wzrost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@GK_IM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2026-05-16T04:53:08+02:00</dcterms:created>
  <dcterms:modified xsi:type="dcterms:W3CDTF">2026-05-16T04:53:08+02:00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