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i Enea poprawią stan zasilania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 która pod koniec września informowała o wyborze jej oferty przez Enea Operator Sp. z o.o., dokonała aktualizacji informacji, informując o zawarciu 14 października ostatecznej umowy na poprawę stanu zasilania Miasta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S.A., zgodnie z obowiązkiem informacyjnym spółek notowanych na GPW, poinformowała o zawarciu umowy na realizację zadania pod nazwą „Budowa linii kablowych 110 kV Garbary – Cytadela, Garbary – EC Karolin wraz z budową stacji 110/15/6 kV Garbary celem poprawy zasilania miasta Poznań”. Wynagrodzenie spółki ujęte w umowie wynosi 42.113.821,14 zł netto, tj. 51.800.000,00 zł brutto. Strony ustaliły termin realizacji zadania na 56 tygodni, licząc od dnia przekazania terenu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Zostaliśmy wybrani w przetargu na GPZ Garbary przez poznański oddział Enei. To niezmiernie ważna i długo oczekiwana inwestycja dla nas, dla Poznania i dla całego systemu zasilania w energię elektryczną. Cały czas pracujemy nad kolejnymi tego typu tematami. Mam nadzieję, że już niedługo będę mógł ponownie przekazać dobre informacje </w:t>
      </w:r>
      <w:r>
        <w:rPr>
          <w:rFonts w:ascii="calibri" w:hAnsi="calibri" w:eastAsia="calibri" w:cs="calibri"/>
          <w:sz w:val="24"/>
          <w:szCs w:val="24"/>
        </w:rPr>
        <w:t xml:space="preserve">– mówił po wyborze oferty Atremu, prezes zarządu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Notowany na GPW od 2008 roku Atrem wyróżnia w swojej działalności dwa główne sektory: automatykę oraz elektroenergetykę, w ramach której z powodzeniem realizuje kontrakty w zakresie OZE i gazownictwa. Już dawno akcentowano rolę tej spółki także w nadchodzącej transformacji energetycznej oraz uniezależnieniu kraju od rosyjskich surowców. Kwestie te, w kontekście bieżących wydarzeń gospodarczych, są priorytetowe i mocno akcentowane przez rządzących, a zarówno energetyka, jak i gazownictwo są sektorami, z których spółka się wywodzi. ‘Atrem będzie w tych wyzwaniach chętnie uczestniczyć’ – deklarował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Atremu pytany niedawno o skalę zapotrzebowania na rozwój sieci przesyłowych odpowiadał, że zainteresowanie rośnie skokowo w związku z ekspansją OZE i koniecznością gruntownej modernizacji polskiego systemu dystrybucji i przesyłu.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2024-05-03T13:07:51+02:00</dcterms:created>
  <dcterms:modified xsi:type="dcterms:W3CDTF">2024-05-03T13:07:51+02:00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