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Wyniki Atrem S.A. za III kwartały 2021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Atrem S.A., działająca w branży automatyki i elektroenergetyki oraz realizująca kontrakty w zakresie OZE i gazownictwa, opublikowała wyniki za III kwartały 2021. Przychody spółki wyniosły 68,9 mln PLN, a EBITDA 2,6 mln PLN. W raportowanym okresie wygenerowano zysk z działalności operacyjnej na poziomie 0,8 mln.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Przychody Atremu w III kwartałach 2021 roku wzrosły rok do roku o 33%, zysk operacyjny zaś o 74%.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Realizacja przychodów kształtuje się nieproporcjonalnie w trakcie trwania roku. W II półroczu 2021 roku – podobnie jak w roku ubiegłym – spółka zakłada wyższe zaangażowanie na kontraktach. Wynika to m.in. z warunków atmosferycznych, specyfiki realizowanych kontraktów, terminów umownych oraz fazy realizacji, w jakiej się znajdują budowy</w:t>
      </w:r>
      <w:r>
        <w:rPr>
          <w:rFonts w:ascii="calibri" w:hAnsi="calibri" w:eastAsia="calibri" w:cs="calibri"/>
          <w:sz w:val="24"/>
          <w:szCs w:val="24"/>
        </w:rPr>
        <w:t xml:space="preserve"> – tłumaczy Andrzej Goławski.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Swój udział we wzroście przychodów miał przede wszystkim segment automatyki, który zajmuje się świadczeniem usług inżynieryjnych z zakresu automatyki przemysłowej, aparatury kontrolno-pomiarowej, przebudowy gazowych stacji redukcyjno-pomiarowych, telemetrii, teletechniki, regulacji, elektroniki, metrologii oraz świadczy usługi z zakresu instalacji klimatyzacyjnych, wentylacji i ogrzewania. W segmencie tym przychody wzrosły do 43,1 mln, względem 26,2 mln zł. wypracowanych w analogicznym okresie ubiegłego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Wzrost sprzedaży w segmencie automatyki wynika w głównej mierze z ostatniej fazy realizacji kontraktu Muzeum Enigmy w Poznaniu oraz realizacji kontraktu Tłocznia Odolanów</w:t>
      </w:r>
      <w:r>
        <w:rPr>
          <w:rFonts w:ascii="calibri" w:hAnsi="calibri" w:eastAsia="calibri" w:cs="calibri"/>
          <w:sz w:val="24"/>
          <w:szCs w:val="24"/>
        </w:rPr>
        <w:t xml:space="preserve"> – mówi Andrzej Goławski, prezes zarządu Atrem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segment działalności – elektroenergetyka, świadczący usługi z zakresu energetyki niskich, średnich i wysokich napięć dla klientów z branży energetycznej, budowlanej oraz przemysłowej, zanotował przychody zbliżone rok do roku, i było to 25,8 mln zł. W ramach tego segmentu spółka realizuje także kontrakty z obszaru odnawialnych źródeł energii, w raportowanym okresie o wartości 23,3 mln PLN netto. Dynamiczny rozwój tej branży może wpływać na przychody Atremu w nadchodzących okresach.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Atrem widzi szansę w rozwoju polskiego systemu elektroenergetycznego w związku z ekspansją OZE, nowymi przepisami i wywołaną przez to koniecznością gruntownej modernizacji polskiego systemu dystrybucji oraz przesyłu. Rozwój ten wywołuje także konieczność rozwiązania problemu magazynowania energii – tutaj również mamy szanse wykorzystać nasze kompetencje - magazyny energii najlepiej zlokalizować w ramach budowanych przez nas głównych punktów zasilających</w:t>
      </w:r>
      <w:r>
        <w:rPr>
          <w:rFonts w:ascii="calibri" w:hAnsi="calibri" w:eastAsia="calibri" w:cs="calibri"/>
          <w:sz w:val="24"/>
          <w:szCs w:val="24"/>
        </w:rPr>
        <w:t xml:space="preserve">” – tłumaczy Andrzej Goławski.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wygenerowała w III kwartałach 2021 roku zysk z działalności operacyjnej na poziomie 0,8 mln PLN, wobec zysku 0,5 mln PLN w 3Q2020. Zysk brutto wyniósł 0,16 mln PLN, wobec straty r/r na poziomie 0,12 mln PLN, a strata netto -1,6 mln PLN, wobec minimalnego zysku w analogicznym okresie 2021 r. Spadła rentowności brutto na sprzedaży z 13,7% w 2020 roku do 12,1% w 2021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Główny wpływ na to miało wejście w fazę realizacji kontraktu z początku 2018 roku, na który zawiązano rezerwę na stratę, co istotnie obniża średnią marżę. Celem jaki stawiany jest przez zarząd wszystkim ośrodkom zysku w spółce, jest trwała poprawa rentowności na realizowanych kontraktach oraz istotna poprawa pozycji finansowej kontraktów</w:t>
      </w:r>
      <w:r>
        <w:rPr>
          <w:rFonts w:ascii="calibri" w:hAnsi="calibri" w:eastAsia="calibri" w:cs="calibri"/>
          <w:sz w:val="24"/>
          <w:szCs w:val="24"/>
        </w:rPr>
        <w:t xml:space="preserve"> – zapowiada prezes.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Atrem S.A. od 2007 r. jest notowany na warszawskiej GPW, a od 2019 roku znajduje się w strukturach Grupy Kapitałowej IMMOBILE S.A. Spółka zamierza dobrze wykorzystać potencjał jakim dysponuje funkcjonując w ramach tego konglomeratu, optymalizując koszty i wykorzystując dostępne synergie.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2024-05-18T17:14:06+02:00</dcterms:created>
  <dcterms:modified xsi:type="dcterms:W3CDTF">2024-05-18T17:14:06+02:00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