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Atrem publikuje wyniki za I półrocze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Atrem S.A., działająca w branży automatyki i elektroenergetyki oraz realizująca kontrakty w zakresie OZE i gazownictwa, opublikowała wyniki za I półrocze 2021. Przychody Spółki wyniosły 38,7 mln PLN, a EBITDA 2,0 mln PLN. W raportowanym okresie wygenerowano zysk z działalności operacyjnej na poziomie 0,8 mln.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Przychody Atremu w I półroczu 2021 roku wyniosły 38,7 mln PLN, co oznacza wzrost o 3,0 mln PLN w stosunku do analogicznego okresu w 2020 roku (+8,44%). Spółka deklaruje, iż realizacja przychodów kształtuje się nieproporcjonalnie w trakcie trwania roku, w związku z czym oczekuje większej aktywności w drugiej części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II półroczu 2021 roku – podobnie jak w roku ubiegłym – spółka zakłada wyższe zaangażowanie na kontraktach. Wynika to m.in. z warunków atmosferycznych, specyfiki realizowanych kontraktów, terminów umownych oraz fazy realizacji, w jakiej się znajdują budowy</w:t>
      </w:r>
      <w:r>
        <w:rPr>
          <w:rFonts w:ascii="calibri" w:hAnsi="calibri" w:eastAsia="calibri" w:cs="calibri"/>
          <w:sz w:val="24"/>
          <w:szCs w:val="24"/>
        </w:rPr>
        <w:t xml:space="preserve"> – tłumaczy ten fakt Andrzej Goławski, Prezes Zarządu Atrem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ślad za wzrostem przychodów, nastąpił wzrost kosztów bezpośrednich z 30,1 mln PLN w I półroczu 2020 roku do poziomu 32,6 mln PLN w 2021 roku, a dynamika wzrostu kosztów była nieco niższa, niż zmian przychodów. Powodem takiego stanu rzeczy było polepszenie rentowności na kontraktach wykonawczych. Wypadkową tych zmian było polepszenie rentowności brutto na sprzedaży z 15,55% w 2020 roku, do 15,6% w 2021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Celem jaki stawiany wszystkim ośrodkom zysku w Spółce, jest trwała poprawa rentowności na realizowanych kontraktach oraz istotna poprawa pozycji finansowej kontraktów</w:t>
      </w:r>
      <w:r>
        <w:rPr>
          <w:rFonts w:ascii="calibri" w:hAnsi="calibri" w:eastAsia="calibri" w:cs="calibri"/>
          <w:sz w:val="24"/>
          <w:szCs w:val="24"/>
        </w:rPr>
        <w:t xml:space="preserve"> – mówi Prezes.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wygenerowała w I półroczu 2021 roku zysk z działalności operacyjnej na poziomie 0,8 mln PLN, wobec zysku 0,4 mln PLN w I półroczu 2020. Zysk brutto wyniósł 0,25 mln PLN, wobec straty na poziomie 0,03 mln PLN na koniec I półrocza ubiegłego roku, a strata netto -0,88 mln PLN, wobec minimalnego zysku w analogicznym okresie 2020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realizuje projekty w dwóch segmentach – automatyki i elektroenergetyki. W ramach segmentu elektroenergetyka, Atrem realizował inwestycje z zakresu odnawialnych źródeł energii. Dynamiczny rozwój tej branży może wpływać na przychody Atremu w nadchodzących okresach.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Atrem widzi szansę w rozwoju polskiego systemu elektroenergetycznego w związku z ekspansją OZE, nowymi przepisami i wywołaną przez to koniecznością gruntownej modernizacji polskiego systemu dystrybucji oraz przesyłu. Rozwój ten wywołuje także konieczność rozwiązania problemu magazynowania energii – tutaj również mamy szanse wykorzystać nasze kompetencje - magazyny energii najlepiej zlokalizować w ramach budowanych przez nas głównych punktów zasilających</w:t>
      </w:r>
      <w:r>
        <w:rPr>
          <w:rFonts w:ascii="calibri" w:hAnsi="calibri" w:eastAsia="calibri" w:cs="calibri"/>
          <w:sz w:val="24"/>
          <w:szCs w:val="24"/>
        </w:rPr>
        <w:t xml:space="preserve"> – tłumaczy Andrzej Goławski.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Atrem S.A. od 2007 r. jest notowany na warszawskiej GPW, a od 2019 roku znajduje się w strukturach Grupy Kapitałowej IMMOBILE S.A. Spółka zamierza dobrze wykorzystać potencjał jakim dysponuje funkcjonując w ramach tego konglomeratu, optymalizując koszty i wykorzystując dostępne synergie.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2024-05-01T06:25:31+02:00</dcterms:created>
  <dcterms:modified xsi:type="dcterms:W3CDTF">2024-05-01T06:25:31+02:00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